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F66B" w14:textId="0FC4A79F" w:rsidR="00231D13" w:rsidRPr="00205382" w:rsidRDefault="00205382">
      <w:pPr>
        <w:rPr>
          <w:b/>
          <w:bCs/>
          <w:lang w:val="nl-NL"/>
        </w:rPr>
      </w:pPr>
      <w:r w:rsidRPr="00205382">
        <w:rPr>
          <w:b/>
          <w:bCs/>
          <w:lang w:val="nl-NL"/>
        </w:rPr>
        <w:t>Brief van Sociare aan de Vlaamse regering</w:t>
      </w:r>
    </w:p>
    <w:p w14:paraId="0D537D1F" w14:textId="77777777" w:rsidR="00205382" w:rsidRDefault="00205382">
      <w:pPr>
        <w:rPr>
          <w:lang w:val="nl-NL"/>
        </w:rPr>
      </w:pPr>
    </w:p>
    <w:p w14:paraId="5ED2730C" w14:textId="77777777" w:rsidR="00205382" w:rsidRDefault="00205382">
      <w:pPr>
        <w:rPr>
          <w:lang w:val="nl-NL"/>
        </w:rPr>
      </w:pPr>
    </w:p>
    <w:p w14:paraId="74937864" w14:textId="77777777" w:rsidR="00205382" w:rsidRP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Geachte ministers van de Vlaamse regering</w:t>
      </w:r>
    </w:p>
    <w:p w14:paraId="2D87DEE2" w14:textId="77777777" w:rsid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 </w:t>
      </w:r>
    </w:p>
    <w:p w14:paraId="587E980D" w14:textId="2A703401" w:rsidR="00205382" w:rsidRP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 xml:space="preserve">We willen onze bezorgdheid delen over recente beleidsbeslissingen van de Vlaamse regering die een grote impact hebben op de </w:t>
      </w:r>
      <w:r w:rsidRPr="00205382">
        <w:rPr>
          <w:rFonts w:ascii="Calibri" w:eastAsia="Verdana" w:hAnsi="Calibri" w:cs="Calibri"/>
          <w:b/>
          <w:bCs/>
          <w:color w:val="000000"/>
          <w:kern w:val="0"/>
          <w:sz w:val="22"/>
          <w:szCs w:val="22"/>
          <w:lang w:eastAsia="nl-BE"/>
          <w14:ligatures w14:val="none"/>
        </w:rPr>
        <w:t>socioculturele sector</w:t>
      </w:r>
      <w:r w:rsidRPr="00205382">
        <w:rPr>
          <w:rFonts w:ascii="Calibri" w:eastAsia="Verdana" w:hAnsi="Calibri" w:cs="Calibri"/>
          <w:color w:val="000000"/>
          <w:kern w:val="0"/>
          <w:sz w:val="22"/>
          <w:szCs w:val="22"/>
          <w:lang w:eastAsia="nl-BE"/>
          <w14:ligatures w14:val="none"/>
        </w:rPr>
        <w:t xml:space="preserve">. De socioculturele sector bestaat uit 13 deelsectoren die samen </w:t>
      </w:r>
      <w:bookmarkStart w:id="0" w:name="_Int_gKy185Vv"/>
      <w:proofErr w:type="gramStart"/>
      <w:r w:rsidRPr="00205382">
        <w:rPr>
          <w:rFonts w:ascii="Calibri" w:eastAsia="Verdana" w:hAnsi="Calibri" w:cs="Calibri"/>
          <w:color w:val="000000"/>
          <w:kern w:val="0"/>
          <w:sz w:val="22"/>
          <w:szCs w:val="22"/>
          <w:lang w:eastAsia="nl-BE"/>
          <w14:ligatures w14:val="none"/>
        </w:rPr>
        <w:t>circa</w:t>
      </w:r>
      <w:bookmarkEnd w:id="0"/>
      <w:proofErr w:type="gramEnd"/>
      <w:r w:rsidRPr="00205382">
        <w:rPr>
          <w:rFonts w:ascii="Calibri" w:eastAsia="Verdana" w:hAnsi="Calibri" w:cs="Calibri"/>
          <w:color w:val="000000"/>
          <w:kern w:val="0"/>
          <w:sz w:val="22"/>
          <w:szCs w:val="22"/>
          <w:lang w:eastAsia="nl-BE"/>
          <w14:ligatures w14:val="none"/>
        </w:rPr>
        <w:t xml:space="preserve"> </w:t>
      </w:r>
      <w:r w:rsidRPr="00205382">
        <w:rPr>
          <w:rFonts w:ascii="Calibri" w:eastAsia="Verdana" w:hAnsi="Calibri" w:cs="Calibri"/>
          <w:b/>
          <w:bCs/>
          <w:color w:val="000000"/>
          <w:kern w:val="0"/>
          <w:sz w:val="22"/>
          <w:szCs w:val="22"/>
          <w:lang w:eastAsia="nl-BE"/>
          <w14:ligatures w14:val="none"/>
        </w:rPr>
        <w:t>25.000 werknemers</w:t>
      </w:r>
      <w:r w:rsidRPr="00205382">
        <w:rPr>
          <w:rFonts w:ascii="Calibri" w:eastAsia="Verdana" w:hAnsi="Calibri" w:cs="Calibri"/>
          <w:color w:val="000000"/>
          <w:kern w:val="0"/>
          <w:sz w:val="22"/>
          <w:szCs w:val="22"/>
          <w:lang w:eastAsia="nl-BE"/>
          <w14:ligatures w14:val="none"/>
        </w:rPr>
        <w:t> tewerkstellen. Dat zijn gelijkaardige cijfers aan sectoren zoals de handel in voedingswaren en de schoonmaakondernemingen.</w:t>
      </w:r>
    </w:p>
    <w:p w14:paraId="0B9C1127" w14:textId="77777777" w:rsidR="00205382" w:rsidRP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 xml:space="preserve">Wij stellen vast dat cruciale beleidsbeslissingen in 2025 </w:t>
      </w:r>
      <w:r w:rsidRPr="00205382">
        <w:rPr>
          <w:rFonts w:ascii="Calibri" w:eastAsia="Verdana" w:hAnsi="Calibri" w:cs="Calibri"/>
          <w:b/>
          <w:bCs/>
          <w:color w:val="000000"/>
          <w:kern w:val="0"/>
          <w:sz w:val="22"/>
          <w:szCs w:val="22"/>
          <w:lang w:eastAsia="nl-BE"/>
          <w14:ligatures w14:val="none"/>
        </w:rPr>
        <w:t>zeer plots</w:t>
      </w:r>
      <w:r w:rsidRPr="00205382">
        <w:rPr>
          <w:rFonts w:ascii="Calibri" w:eastAsia="Verdana" w:hAnsi="Calibri" w:cs="Calibri"/>
          <w:color w:val="000000"/>
          <w:kern w:val="0"/>
          <w:sz w:val="22"/>
          <w:szCs w:val="22"/>
          <w:lang w:eastAsia="nl-BE"/>
          <w14:ligatures w14:val="none"/>
        </w:rPr>
        <w:t xml:space="preserve"> werden genomen, terwijl </w:t>
      </w:r>
      <w:r w:rsidRPr="00205382">
        <w:rPr>
          <w:rFonts w:ascii="Calibri" w:eastAsia="Verdana" w:hAnsi="Calibri" w:cs="Calibri"/>
          <w:b/>
          <w:bCs/>
          <w:color w:val="000000"/>
          <w:kern w:val="0"/>
          <w:sz w:val="22"/>
          <w:szCs w:val="22"/>
          <w:lang w:eastAsia="nl-BE"/>
          <w14:ligatures w14:val="none"/>
        </w:rPr>
        <w:t>overleg met het middenveld beperkt</w:t>
      </w:r>
      <w:r w:rsidRPr="00205382">
        <w:rPr>
          <w:rFonts w:ascii="Calibri" w:eastAsia="Verdana" w:hAnsi="Calibri" w:cs="Calibri"/>
          <w:color w:val="000000"/>
          <w:kern w:val="0"/>
          <w:sz w:val="22"/>
          <w:szCs w:val="22"/>
          <w:lang w:eastAsia="nl-BE"/>
          <w14:ligatures w14:val="none"/>
        </w:rPr>
        <w:t xml:space="preserve"> bleef of zelfs </w:t>
      </w:r>
      <w:r w:rsidRPr="00205382">
        <w:rPr>
          <w:rFonts w:ascii="Calibri" w:eastAsia="Verdana" w:hAnsi="Calibri" w:cs="Calibri"/>
          <w:b/>
          <w:bCs/>
          <w:color w:val="000000"/>
          <w:kern w:val="0"/>
          <w:sz w:val="22"/>
          <w:szCs w:val="22"/>
          <w:lang w:eastAsia="nl-BE"/>
          <w14:ligatures w14:val="none"/>
        </w:rPr>
        <w:t>onbestaande</w:t>
      </w:r>
      <w:r w:rsidRPr="00205382">
        <w:rPr>
          <w:rFonts w:ascii="Calibri" w:eastAsia="Verdana" w:hAnsi="Calibri" w:cs="Calibri"/>
          <w:color w:val="000000"/>
          <w:kern w:val="0"/>
          <w:sz w:val="22"/>
          <w:szCs w:val="22"/>
          <w:lang w:eastAsia="nl-BE"/>
          <w14:ligatures w14:val="none"/>
        </w:rPr>
        <w:t xml:space="preserve">. Daardoor zijn deze beslissingen moeilijk uitvoerbaar in de praktijk en hebben ze een </w:t>
      </w:r>
      <w:r w:rsidRPr="00205382">
        <w:rPr>
          <w:rFonts w:ascii="Calibri" w:eastAsia="Verdana" w:hAnsi="Calibri" w:cs="Calibri"/>
          <w:b/>
          <w:bCs/>
          <w:color w:val="000000"/>
          <w:kern w:val="0"/>
          <w:sz w:val="22"/>
          <w:szCs w:val="22"/>
          <w:lang w:eastAsia="nl-BE"/>
          <w14:ligatures w14:val="none"/>
        </w:rPr>
        <w:t>enorme impact</w:t>
      </w:r>
      <w:r w:rsidRPr="00205382">
        <w:rPr>
          <w:rFonts w:ascii="Calibri" w:eastAsia="Verdana" w:hAnsi="Calibri" w:cs="Calibri"/>
          <w:color w:val="000000"/>
          <w:kern w:val="0"/>
          <w:sz w:val="22"/>
          <w:szCs w:val="22"/>
          <w:lang w:eastAsia="nl-BE"/>
          <w14:ligatures w14:val="none"/>
        </w:rPr>
        <w:t xml:space="preserve"> op onze gebruikers en onze werknemers én kunnen we onze verplichtingen als werkgevers niet nakomen. </w:t>
      </w:r>
    </w:p>
    <w:p w14:paraId="1A45BF78" w14:textId="77777777" w:rsidR="00205382" w:rsidRDefault="00205382" w:rsidP="00205382">
      <w:pPr>
        <w:spacing w:line="240" w:lineRule="auto"/>
        <w:rPr>
          <w:rFonts w:ascii="Calibri" w:eastAsia="Verdana" w:hAnsi="Calibri" w:cs="Calibri"/>
          <w:color w:val="000000"/>
          <w:kern w:val="0"/>
          <w:sz w:val="22"/>
          <w:szCs w:val="22"/>
          <w:lang w:eastAsia="nl-BE"/>
          <w14:ligatures w14:val="none"/>
        </w:rPr>
      </w:pPr>
    </w:p>
    <w:p w14:paraId="7D4AC441" w14:textId="507E59BE" w:rsidR="00205382" w:rsidRP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 xml:space="preserve">Meer bepaald baart het ons zorgen dat de Vlaamse regering zeer laat in het jaar (najaar 2025) besparingsmaatregelen en andere beleidsbeslissingen die ingang vinden vanaf 1 januari 2026.  Deze manier van werken laat </w:t>
      </w:r>
      <w:r w:rsidRPr="00205382">
        <w:rPr>
          <w:rFonts w:ascii="Calibri" w:eastAsia="Verdana" w:hAnsi="Calibri" w:cs="Calibri"/>
          <w:b/>
          <w:bCs/>
          <w:color w:val="000000"/>
          <w:kern w:val="0"/>
          <w:sz w:val="22"/>
          <w:szCs w:val="22"/>
          <w:lang w:eastAsia="nl-BE"/>
          <w14:ligatures w14:val="none"/>
        </w:rPr>
        <w:t>geen ruimte voor een zorgvuldige overgang</w:t>
      </w:r>
      <w:r w:rsidRPr="00205382">
        <w:rPr>
          <w:rFonts w:ascii="Calibri" w:eastAsia="Verdana" w:hAnsi="Calibri" w:cs="Calibri"/>
          <w:color w:val="000000"/>
          <w:kern w:val="0"/>
          <w:sz w:val="22"/>
          <w:szCs w:val="22"/>
          <w:lang w:eastAsia="nl-BE"/>
          <w14:ligatures w14:val="none"/>
        </w:rPr>
        <w:t xml:space="preserve"> en zet onze sociale ondernemingen voor voldongen feiten. Vanuit het </w:t>
      </w:r>
      <w:r w:rsidRPr="00205382">
        <w:rPr>
          <w:rFonts w:ascii="Calibri" w:eastAsia="Verdana" w:hAnsi="Calibri" w:cs="Calibri"/>
          <w:b/>
          <w:bCs/>
          <w:color w:val="000000"/>
          <w:kern w:val="0"/>
          <w:sz w:val="22"/>
          <w:szCs w:val="22"/>
          <w:lang w:eastAsia="nl-BE"/>
          <w14:ligatures w14:val="none"/>
        </w:rPr>
        <w:t>principe van goed bestuur</w:t>
      </w:r>
      <w:r w:rsidRPr="00205382">
        <w:rPr>
          <w:rFonts w:ascii="Calibri" w:eastAsia="Verdana" w:hAnsi="Calibri" w:cs="Calibri"/>
          <w:color w:val="000000"/>
          <w:kern w:val="0"/>
          <w:sz w:val="22"/>
          <w:szCs w:val="22"/>
          <w:lang w:eastAsia="nl-BE"/>
          <w14:ligatures w14:val="none"/>
        </w:rPr>
        <w:t> verwachten wij dat een regering voldoende aandacht heeft voor hoe transities tussen oude en nieuwe beleidskaders op een haalbare manier kunnen worden gefaciliteerd.</w:t>
      </w:r>
    </w:p>
    <w:p w14:paraId="22FACDF4" w14:textId="77777777" w:rsidR="00205382" w:rsidRDefault="00205382" w:rsidP="00205382">
      <w:pPr>
        <w:spacing w:line="240" w:lineRule="auto"/>
        <w:rPr>
          <w:rFonts w:ascii="Calibri" w:eastAsia="Verdana" w:hAnsi="Calibri" w:cs="Calibri"/>
          <w:color w:val="000000"/>
          <w:kern w:val="0"/>
          <w:sz w:val="22"/>
          <w:szCs w:val="22"/>
          <w:lang w:eastAsia="nl-BE"/>
          <w14:ligatures w14:val="none"/>
        </w:rPr>
      </w:pPr>
    </w:p>
    <w:p w14:paraId="3857EF92" w14:textId="00CF1239" w:rsidR="00205382" w:rsidRP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 xml:space="preserve">Daarbovenop merken we dat het verhaal van goed bestuur zich steeds vaker moet afspelen in steeds kortere tijdsperiodes, met minder aandacht voor de strategische lange termijn. Dit staat haaks op de </w:t>
      </w:r>
      <w:r w:rsidRPr="00205382">
        <w:rPr>
          <w:rFonts w:ascii="Calibri" w:eastAsia="Verdana" w:hAnsi="Calibri" w:cs="Calibri"/>
          <w:b/>
          <w:bCs/>
          <w:color w:val="000000"/>
          <w:kern w:val="0"/>
          <w:sz w:val="22"/>
          <w:szCs w:val="22"/>
          <w:lang w:eastAsia="nl-BE"/>
          <w14:ligatures w14:val="none"/>
        </w:rPr>
        <w:t>nood aan stabiliteit en vooruitziendheid</w:t>
      </w:r>
      <w:r w:rsidRPr="00205382">
        <w:rPr>
          <w:rFonts w:ascii="Calibri" w:eastAsia="Verdana" w:hAnsi="Calibri" w:cs="Calibri"/>
          <w:color w:val="000000"/>
          <w:kern w:val="0"/>
          <w:sz w:val="22"/>
          <w:szCs w:val="22"/>
          <w:lang w:eastAsia="nl-BE"/>
          <w14:ligatures w14:val="none"/>
        </w:rPr>
        <w:t> in een economisch en politiek onzeker klimaat. Als werkgevers hebben we nood aan voldoende voorbereidingstijd om ons aan te passen aan fundamenteel nieuwe situaties.</w:t>
      </w:r>
    </w:p>
    <w:p w14:paraId="63C551DB" w14:textId="77777777" w:rsidR="00205382" w:rsidRDefault="00205382" w:rsidP="00205382">
      <w:pPr>
        <w:spacing w:line="240" w:lineRule="auto"/>
        <w:rPr>
          <w:rFonts w:ascii="Calibri" w:eastAsia="Verdana" w:hAnsi="Calibri" w:cs="Calibri"/>
          <w:color w:val="000000"/>
          <w:kern w:val="0"/>
          <w:sz w:val="22"/>
          <w:szCs w:val="22"/>
          <w:lang w:eastAsia="nl-BE"/>
          <w14:ligatures w14:val="none"/>
        </w:rPr>
      </w:pPr>
    </w:p>
    <w:p w14:paraId="208E748E" w14:textId="0ABBDACB" w:rsidR="00205382" w:rsidRP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 xml:space="preserve">Deze werkwijze zorgt voor </w:t>
      </w:r>
      <w:r w:rsidRPr="00205382">
        <w:rPr>
          <w:rFonts w:ascii="Calibri" w:eastAsia="Verdana" w:hAnsi="Calibri" w:cs="Calibri"/>
          <w:b/>
          <w:bCs/>
          <w:color w:val="000000"/>
          <w:kern w:val="0"/>
          <w:sz w:val="22"/>
          <w:szCs w:val="22"/>
          <w:lang w:eastAsia="nl-BE"/>
          <w14:ligatures w14:val="none"/>
        </w:rPr>
        <w:t>grote onzekerheid</w:t>
      </w:r>
      <w:r w:rsidRPr="00205382">
        <w:rPr>
          <w:rFonts w:ascii="Calibri" w:eastAsia="Verdana" w:hAnsi="Calibri" w:cs="Calibri"/>
          <w:color w:val="000000"/>
          <w:kern w:val="0"/>
          <w:sz w:val="22"/>
          <w:szCs w:val="22"/>
          <w:lang w:eastAsia="nl-BE"/>
          <w14:ligatures w14:val="none"/>
        </w:rPr>
        <w:t xml:space="preserve"> in de sector. De opeenvolging van besparingsmaatregelen en andere beslissingen heeft grote directe gevolgen voor medewerkers, voor het organisatiebeleid maar ook voor de samenleving. Onze sociale ondernemingen en werknemers zijn de ruggensteun van een groeiend aantal mensen op zoek naar houvast en verbinding in deze uitdagende maatschappelijke context. </w:t>
      </w:r>
      <w:r w:rsidRPr="00205382">
        <w:rPr>
          <w:rFonts w:ascii="Calibri" w:eastAsia="Verdana" w:hAnsi="Calibri" w:cs="Calibri"/>
          <w:b/>
          <w:bCs/>
          <w:color w:val="000000"/>
          <w:kern w:val="0"/>
          <w:sz w:val="22"/>
          <w:szCs w:val="22"/>
          <w:lang w:eastAsia="nl-BE"/>
          <w14:ligatures w14:val="none"/>
        </w:rPr>
        <w:t>Nergens anders in de wereld is het verenigingsleven zo ontwikkeld en versterkend voor de gemeenschap</w:t>
      </w:r>
      <w:r w:rsidRPr="00205382">
        <w:rPr>
          <w:rFonts w:ascii="Calibri" w:eastAsia="Verdana" w:hAnsi="Calibri" w:cs="Calibri"/>
          <w:color w:val="000000"/>
          <w:kern w:val="0"/>
          <w:sz w:val="22"/>
          <w:szCs w:val="22"/>
          <w:lang w:eastAsia="nl-BE"/>
          <w14:ligatures w14:val="none"/>
        </w:rPr>
        <w:t>. Stabiel werkgeverschap is belangrijk om dit te realiseren. Dat kan echter alleen in een kader van voorspelbaar, zorgvuldig en overleggericht beleid.</w:t>
      </w:r>
    </w:p>
    <w:p w14:paraId="141A2E20" w14:textId="77777777" w:rsidR="00205382" w:rsidRP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 xml:space="preserve">Als goede en duurzame werkgevers blijven wij inzetten op een </w:t>
      </w:r>
      <w:r w:rsidRPr="00205382">
        <w:rPr>
          <w:rFonts w:ascii="Calibri" w:eastAsia="Verdana" w:hAnsi="Calibri" w:cs="Calibri"/>
          <w:b/>
          <w:bCs/>
          <w:color w:val="000000"/>
          <w:kern w:val="0"/>
          <w:sz w:val="22"/>
          <w:szCs w:val="22"/>
          <w:lang w:eastAsia="nl-BE"/>
          <w14:ligatures w14:val="none"/>
        </w:rPr>
        <w:t>positieve en constructieve dialoog met de Vlaamse regering</w:t>
      </w:r>
      <w:r w:rsidRPr="00205382">
        <w:rPr>
          <w:rFonts w:ascii="Calibri" w:eastAsia="Verdana" w:hAnsi="Calibri" w:cs="Calibri"/>
          <w:color w:val="000000"/>
          <w:kern w:val="0"/>
          <w:sz w:val="22"/>
          <w:szCs w:val="22"/>
          <w:lang w:eastAsia="nl-BE"/>
          <w14:ligatures w14:val="none"/>
        </w:rPr>
        <w:t>. Wij roepen u dan ook op om ruimte te maken voor overleg, om de socioculturele sector te betrekken bij beleidsbeslissingen die hen rechtstreeks aanbelangen en om bij toekomstig beleid meer aandacht te hebben voor haalbare overgangsperiodes en langetermijnvisies.</w:t>
      </w:r>
    </w:p>
    <w:p w14:paraId="3895EBBD" w14:textId="77777777" w:rsidR="00205382" w:rsidRDefault="00205382" w:rsidP="00205382">
      <w:pPr>
        <w:spacing w:line="240" w:lineRule="auto"/>
        <w:rPr>
          <w:rFonts w:ascii="Calibri" w:eastAsia="Verdana" w:hAnsi="Calibri" w:cs="Calibri"/>
          <w:color w:val="000000"/>
          <w:kern w:val="0"/>
          <w:sz w:val="22"/>
          <w:szCs w:val="22"/>
          <w:lang w:eastAsia="nl-BE"/>
          <w14:ligatures w14:val="none"/>
        </w:rPr>
      </w:pPr>
    </w:p>
    <w:p w14:paraId="4B68407D" w14:textId="23E23848" w:rsidR="00205382" w:rsidRPr="00205382" w:rsidRDefault="00205382" w:rsidP="00205382">
      <w:pPr>
        <w:spacing w:line="240" w:lineRule="auto"/>
        <w:rPr>
          <w:rFonts w:ascii="Calibri" w:eastAsia="Verdana" w:hAnsi="Calibri" w:cs="Calibri"/>
          <w:color w:val="000000"/>
          <w:kern w:val="0"/>
          <w:sz w:val="22"/>
          <w:szCs w:val="22"/>
          <w:lang w:eastAsia="nl-BE"/>
          <w14:ligatures w14:val="none"/>
        </w:rPr>
      </w:pPr>
      <w:r w:rsidRPr="00205382">
        <w:rPr>
          <w:rFonts w:ascii="Calibri" w:eastAsia="Verdana" w:hAnsi="Calibri" w:cs="Calibri"/>
          <w:color w:val="000000"/>
          <w:kern w:val="0"/>
          <w:sz w:val="22"/>
          <w:szCs w:val="22"/>
          <w:lang w:eastAsia="nl-BE"/>
          <w14:ligatures w14:val="none"/>
        </w:rPr>
        <w:t>Wij gaan hierover graag met u in gesprek.</w:t>
      </w:r>
    </w:p>
    <w:p w14:paraId="3F3BC083" w14:textId="77777777" w:rsidR="00205382" w:rsidRPr="00205382" w:rsidRDefault="00205382"/>
    <w:sectPr w:rsidR="00205382" w:rsidRPr="00205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82"/>
    <w:rsid w:val="001B7E6D"/>
    <w:rsid w:val="00205382"/>
    <w:rsid w:val="00231D13"/>
    <w:rsid w:val="0034640E"/>
    <w:rsid w:val="007C62C5"/>
    <w:rsid w:val="00BC0B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A46F"/>
  <w15:chartTrackingRefBased/>
  <w15:docId w15:val="{E8B1656E-C069-4489-BF32-18625ED4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2C5"/>
    <w:pPr>
      <w:spacing w:after="0"/>
    </w:pPr>
    <w:rPr>
      <w:rFonts w:ascii="Verdana" w:hAnsi="Verdana"/>
      <w:sz w:val="20"/>
    </w:rPr>
  </w:style>
  <w:style w:type="paragraph" w:styleId="Kop1">
    <w:name w:val="heading 1"/>
    <w:basedOn w:val="Standaard"/>
    <w:next w:val="Standaard"/>
    <w:link w:val="Kop1Char"/>
    <w:uiPriority w:val="9"/>
    <w:qFormat/>
    <w:rsid w:val="00205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3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3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0538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0538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0538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0538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0538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3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3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3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382"/>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205382"/>
    <w:rPr>
      <w:rFonts w:eastAsiaTheme="majorEastAsia" w:cstheme="majorBidi"/>
      <w:color w:val="0F4761" w:themeColor="accent1" w:themeShade="BF"/>
      <w:sz w:val="20"/>
    </w:rPr>
  </w:style>
  <w:style w:type="character" w:customStyle="1" w:styleId="Kop6Char">
    <w:name w:val="Kop 6 Char"/>
    <w:basedOn w:val="Standaardalinea-lettertype"/>
    <w:link w:val="Kop6"/>
    <w:uiPriority w:val="9"/>
    <w:semiHidden/>
    <w:rsid w:val="00205382"/>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205382"/>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205382"/>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205382"/>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20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3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3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3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38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5382"/>
    <w:rPr>
      <w:rFonts w:ascii="Verdana" w:hAnsi="Verdana"/>
      <w:i/>
      <w:iCs/>
      <w:color w:val="404040" w:themeColor="text1" w:themeTint="BF"/>
      <w:sz w:val="20"/>
    </w:rPr>
  </w:style>
  <w:style w:type="paragraph" w:styleId="Lijstalinea">
    <w:name w:val="List Paragraph"/>
    <w:basedOn w:val="Standaard"/>
    <w:uiPriority w:val="34"/>
    <w:qFormat/>
    <w:rsid w:val="00205382"/>
    <w:pPr>
      <w:ind w:left="720"/>
      <w:contextualSpacing/>
    </w:pPr>
  </w:style>
  <w:style w:type="character" w:styleId="Intensievebenadrukking">
    <w:name w:val="Intense Emphasis"/>
    <w:basedOn w:val="Standaardalinea-lettertype"/>
    <w:uiPriority w:val="21"/>
    <w:qFormat/>
    <w:rsid w:val="00205382"/>
    <w:rPr>
      <w:i/>
      <w:iCs/>
      <w:color w:val="0F4761" w:themeColor="accent1" w:themeShade="BF"/>
    </w:rPr>
  </w:style>
  <w:style w:type="paragraph" w:styleId="Duidelijkcitaat">
    <w:name w:val="Intense Quote"/>
    <w:basedOn w:val="Standaard"/>
    <w:next w:val="Standaard"/>
    <w:link w:val="DuidelijkcitaatChar"/>
    <w:uiPriority w:val="30"/>
    <w:qFormat/>
    <w:rsid w:val="00205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382"/>
    <w:rPr>
      <w:rFonts w:ascii="Verdana" w:hAnsi="Verdana"/>
      <w:i/>
      <w:iCs/>
      <w:color w:val="0F4761" w:themeColor="accent1" w:themeShade="BF"/>
      <w:sz w:val="20"/>
    </w:rPr>
  </w:style>
  <w:style w:type="character" w:styleId="Intensieveverwijzing">
    <w:name w:val="Intense Reference"/>
    <w:basedOn w:val="Standaardalinea-lettertype"/>
    <w:uiPriority w:val="32"/>
    <w:qFormat/>
    <w:rsid w:val="002053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2371</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Danschutter</dc:creator>
  <cp:keywords/>
  <dc:description/>
  <cp:lastModifiedBy>Christophe Danschutter</cp:lastModifiedBy>
  <cp:revision>1</cp:revision>
  <dcterms:created xsi:type="dcterms:W3CDTF">2026-03-25T07:45:00Z</dcterms:created>
  <dcterms:modified xsi:type="dcterms:W3CDTF">2026-03-25T07:46:00Z</dcterms:modified>
</cp:coreProperties>
</file>